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D1F" w:rsidRPr="007F6E3F" w:rsidRDefault="00DB4D1F" w:rsidP="007F6E3F">
      <w:pPr>
        <w:spacing w:after="0" w:line="240" w:lineRule="auto"/>
        <w:jc w:val="center"/>
        <w:rPr>
          <w:b/>
        </w:rPr>
      </w:pPr>
      <w:r w:rsidRPr="007F6E3F">
        <w:rPr>
          <w:b/>
        </w:rPr>
        <w:t>Пояснительная записка</w:t>
      </w:r>
    </w:p>
    <w:p w:rsidR="00DB4D1F" w:rsidRPr="003C3805" w:rsidRDefault="00DB4D1F" w:rsidP="003C3805">
      <w:pPr>
        <w:jc w:val="center"/>
        <w:rPr>
          <w:b/>
        </w:rPr>
      </w:pPr>
      <w:r w:rsidRPr="007F6E3F">
        <w:rPr>
          <w:b/>
        </w:rPr>
        <w:t xml:space="preserve">к проекту </w:t>
      </w:r>
      <w:r w:rsidRPr="007F6E3F">
        <w:rPr>
          <w:b/>
          <w:szCs w:val="28"/>
        </w:rPr>
        <w:t xml:space="preserve">постановления администрации городского округа </w:t>
      </w:r>
      <w:r w:rsidR="00981244">
        <w:rPr>
          <w:b/>
          <w:szCs w:val="28"/>
        </w:rPr>
        <w:t xml:space="preserve">                     </w:t>
      </w:r>
      <w:proofErr w:type="spellStart"/>
      <w:r w:rsidRPr="007F6E3F">
        <w:rPr>
          <w:b/>
          <w:szCs w:val="28"/>
        </w:rPr>
        <w:t>Кинель</w:t>
      </w:r>
      <w:proofErr w:type="spellEnd"/>
      <w:r w:rsidRPr="007F6E3F">
        <w:rPr>
          <w:b/>
          <w:szCs w:val="28"/>
        </w:rPr>
        <w:t xml:space="preserve"> Самарской области «</w:t>
      </w:r>
      <w:r w:rsidR="003C3805" w:rsidRPr="003C3805">
        <w:rPr>
          <w:b/>
          <w:szCs w:val="28"/>
        </w:rPr>
        <w:t xml:space="preserve">О внесении изменений в </w:t>
      </w:r>
      <w:r w:rsidR="00981244">
        <w:rPr>
          <w:b/>
          <w:szCs w:val="28"/>
        </w:rPr>
        <w:t xml:space="preserve">                                   </w:t>
      </w:r>
      <w:r w:rsidR="003C3805" w:rsidRPr="003C3805">
        <w:rPr>
          <w:b/>
          <w:szCs w:val="28"/>
        </w:rPr>
        <w:t xml:space="preserve">Схему размещения нестационарных торговых объектов </w:t>
      </w:r>
      <w:r w:rsidR="00981244">
        <w:rPr>
          <w:b/>
          <w:szCs w:val="28"/>
        </w:rPr>
        <w:t xml:space="preserve">                                       </w:t>
      </w:r>
      <w:r w:rsidR="003C3805" w:rsidRPr="003C3805">
        <w:rPr>
          <w:b/>
          <w:szCs w:val="28"/>
        </w:rPr>
        <w:t xml:space="preserve">на территории 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 Самарской области, утвержденную постановлением администрации </w:t>
      </w:r>
      <w:r w:rsidR="00981244">
        <w:rPr>
          <w:b/>
          <w:szCs w:val="28"/>
        </w:rPr>
        <w:t xml:space="preserve">                                      </w:t>
      </w:r>
      <w:r w:rsidR="003C3805" w:rsidRPr="003C3805">
        <w:rPr>
          <w:b/>
          <w:szCs w:val="28"/>
        </w:rPr>
        <w:t xml:space="preserve">городского округа </w:t>
      </w:r>
      <w:proofErr w:type="spellStart"/>
      <w:r w:rsidR="003C3805" w:rsidRPr="003C3805">
        <w:rPr>
          <w:b/>
          <w:szCs w:val="28"/>
        </w:rPr>
        <w:t>Кинель</w:t>
      </w:r>
      <w:proofErr w:type="spellEnd"/>
      <w:r w:rsidR="003C3805" w:rsidRPr="003C3805">
        <w:rPr>
          <w:b/>
          <w:szCs w:val="28"/>
        </w:rPr>
        <w:t xml:space="preserve"> Самарской области от </w:t>
      </w:r>
      <w:r w:rsidR="003C3805" w:rsidRPr="003C3805">
        <w:rPr>
          <w:b/>
        </w:rPr>
        <w:t>04</w:t>
      </w:r>
      <w:r w:rsidR="00981244">
        <w:rPr>
          <w:b/>
        </w:rPr>
        <w:t xml:space="preserve"> июня </w:t>
      </w:r>
      <w:r w:rsidR="003C3805" w:rsidRPr="003C3805">
        <w:rPr>
          <w:b/>
        </w:rPr>
        <w:t>2018г. № 1412</w:t>
      </w:r>
      <w:r w:rsidR="00E27FF4">
        <w:rPr>
          <w:b/>
        </w:rPr>
        <w:t>»</w:t>
      </w:r>
      <w:r w:rsidR="00E8694E">
        <w:rPr>
          <w:b/>
        </w:rPr>
        <w:t xml:space="preserve"> </w:t>
      </w:r>
      <w:r w:rsidR="00E27FF4">
        <w:rPr>
          <w:b/>
        </w:rPr>
        <w:t>(с изменениями от 02</w:t>
      </w:r>
      <w:r w:rsidR="00981244">
        <w:rPr>
          <w:b/>
        </w:rPr>
        <w:t xml:space="preserve"> июля </w:t>
      </w:r>
      <w:r w:rsidR="00E27FF4">
        <w:rPr>
          <w:b/>
        </w:rPr>
        <w:t>2018г.</w:t>
      </w:r>
      <w:r w:rsidR="00981244">
        <w:rPr>
          <w:b/>
        </w:rPr>
        <w:t>, 28 сентября 2018г.</w:t>
      </w:r>
      <w:r w:rsidR="00E27FF4">
        <w:rPr>
          <w:b/>
        </w:rPr>
        <w:t>)</w:t>
      </w:r>
    </w:p>
    <w:p w:rsidR="007F6E3F" w:rsidRDefault="007F6E3F" w:rsidP="007F6E3F">
      <w:pPr>
        <w:spacing w:after="0" w:line="240" w:lineRule="auto"/>
        <w:ind w:firstLine="709"/>
        <w:jc w:val="both"/>
      </w:pPr>
    </w:p>
    <w:p w:rsidR="00B9225D" w:rsidRDefault="00DB4D1F" w:rsidP="003C3805">
      <w:pPr>
        <w:ind w:firstLine="708"/>
        <w:jc w:val="both"/>
        <w:rPr>
          <w:szCs w:val="28"/>
        </w:rPr>
      </w:pPr>
      <w:proofErr w:type="gramStart"/>
      <w:r w:rsidRPr="00DB4D1F">
        <w:rPr>
          <w:szCs w:val="28"/>
        </w:rPr>
        <w:t>Проект постановления администрации городского округа Кинель Самарской области «</w:t>
      </w:r>
      <w:r w:rsidR="003C3805" w:rsidRPr="00816536">
        <w:rPr>
          <w:szCs w:val="28"/>
        </w:rPr>
        <w:t>О внесении изменений</w:t>
      </w:r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в </w:t>
      </w:r>
      <w:r w:rsidR="003C3805">
        <w:rPr>
          <w:szCs w:val="28"/>
        </w:rPr>
        <w:t xml:space="preserve">Схему </w:t>
      </w:r>
      <w:r w:rsidR="003C3805" w:rsidRPr="00816536">
        <w:rPr>
          <w:szCs w:val="28"/>
        </w:rPr>
        <w:t xml:space="preserve">размещения нестационарных торговых объектов на территории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>
        <w:rPr>
          <w:szCs w:val="28"/>
        </w:rPr>
        <w:t xml:space="preserve"> </w:t>
      </w:r>
      <w:r w:rsidR="003C3805" w:rsidRPr="00816536">
        <w:rPr>
          <w:szCs w:val="28"/>
        </w:rPr>
        <w:t xml:space="preserve"> С</w:t>
      </w:r>
      <w:r w:rsidR="003C3805">
        <w:rPr>
          <w:szCs w:val="28"/>
        </w:rPr>
        <w:t xml:space="preserve">амарской области, утвержденную </w:t>
      </w:r>
      <w:r w:rsidR="003C3805" w:rsidRPr="00816536">
        <w:rPr>
          <w:szCs w:val="28"/>
        </w:rPr>
        <w:t>постановление</w:t>
      </w:r>
      <w:r w:rsidR="003C3805">
        <w:rPr>
          <w:szCs w:val="28"/>
        </w:rPr>
        <w:t>м</w:t>
      </w:r>
      <w:r w:rsidR="003C3805" w:rsidRPr="00816536">
        <w:rPr>
          <w:szCs w:val="28"/>
        </w:rPr>
        <w:t xml:space="preserve"> администрации городского округа </w:t>
      </w:r>
      <w:proofErr w:type="spellStart"/>
      <w:r w:rsidR="003C3805" w:rsidRPr="00816536">
        <w:rPr>
          <w:szCs w:val="28"/>
        </w:rPr>
        <w:t>Кинель</w:t>
      </w:r>
      <w:proofErr w:type="spellEnd"/>
      <w:r w:rsidR="003C3805" w:rsidRPr="00816536">
        <w:rPr>
          <w:szCs w:val="28"/>
        </w:rPr>
        <w:t xml:space="preserve"> Самарск</w:t>
      </w:r>
      <w:r w:rsidR="003C3805">
        <w:rPr>
          <w:szCs w:val="28"/>
        </w:rPr>
        <w:t xml:space="preserve">ой области от </w:t>
      </w:r>
      <w:r w:rsidR="003C3805" w:rsidRPr="004C4DF9">
        <w:t>04.06.2018г. № 1412</w:t>
      </w:r>
      <w:r w:rsidR="00E8694E">
        <w:t xml:space="preserve"> </w:t>
      </w:r>
      <w:r w:rsidR="00E8694E" w:rsidRPr="00E8694E">
        <w:t xml:space="preserve">(с изменениями от </w:t>
      </w:r>
      <w:r w:rsidR="00981244" w:rsidRPr="00981244">
        <w:t>02 июля 2018г., 28 сентября 2018г.</w:t>
      </w:r>
      <w:r w:rsidR="00E8694E" w:rsidRPr="00981244">
        <w:t>)</w:t>
      </w:r>
      <w:r w:rsidRPr="00981244">
        <w:rPr>
          <w:szCs w:val="28"/>
        </w:rPr>
        <w:t>»</w:t>
      </w:r>
      <w:r w:rsidR="00B9225D">
        <w:rPr>
          <w:szCs w:val="28"/>
        </w:rPr>
        <w:t xml:space="preserve"> (далее – проект постановления) </w:t>
      </w:r>
      <w:r w:rsidR="00676F67">
        <w:rPr>
          <w:szCs w:val="28"/>
        </w:rPr>
        <w:t>разработан в</w:t>
      </w:r>
      <w:r w:rsidR="00676F67" w:rsidRPr="00557664">
        <w:rPr>
          <w:szCs w:val="28"/>
        </w:rPr>
        <w:t xml:space="preserve"> </w:t>
      </w:r>
      <w:r w:rsidR="00E25E86">
        <w:rPr>
          <w:szCs w:val="28"/>
        </w:rPr>
        <w:t xml:space="preserve"> целях обеспечения реализации на территории городского округа </w:t>
      </w:r>
      <w:proofErr w:type="spellStart"/>
      <w:r w:rsidR="00E25E86">
        <w:rPr>
          <w:szCs w:val="28"/>
        </w:rPr>
        <w:t>Кинель</w:t>
      </w:r>
      <w:proofErr w:type="spellEnd"/>
      <w:r w:rsidR="00E25E86">
        <w:rPr>
          <w:szCs w:val="28"/>
        </w:rPr>
        <w:t xml:space="preserve"> Самарской области</w:t>
      </w:r>
      <w:proofErr w:type="gramEnd"/>
      <w:r w:rsidR="00E25E86">
        <w:rPr>
          <w:szCs w:val="28"/>
        </w:rPr>
        <w:t xml:space="preserve"> федерального и регионального законодательства, регулирующего торговую деятельность, осуществляемую с использованием нестационарных торговых объектов (далее – НТО), размещенных на землях или земельных участках, находящихся в государственной или муниципальной собственности.</w:t>
      </w:r>
    </w:p>
    <w:p w:rsidR="003C3805" w:rsidRDefault="003C3805" w:rsidP="003C3805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Проектом постановления предусматривается внесение изменений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в Схему размещения нестационарных торговых объектов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Схема НТО)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в части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приведения в соответствие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объектов, находящихся в Схеме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proofErr w:type="gramStart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 администрацию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соответствии с п.3.1  приказа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Министерства экономического развития и торговли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 № 240 от 28.10.2016 г. «Об утверждении Порядка разработки и утверждения схемы размещения нестационарных торговых объектов на территории Самарской области и о признании утратившими силу отдельных приказов министерства  экономического развития, инвестиций и торговли Самарской области»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(далее – Приказ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>)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поступил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предложени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от</w:t>
      </w:r>
      <w:proofErr w:type="gram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я и юридического лица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на включение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ов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, расположенн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ых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на территории городского округа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Самарской области. Поскольку предлагаемы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 размещению НТО не противореч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т п</w:t>
      </w:r>
      <w:r w:rsidRPr="002119A5">
        <w:rPr>
          <w:rFonts w:ascii="SourceSansProRegular" w:eastAsia="Times New Roman" w:hAnsi="SourceSansProRegular" w:cs="Helvetica"/>
          <w:color w:val="333333"/>
          <w:lang w:eastAsia="ru-RU"/>
        </w:rPr>
        <w:t>.2.2.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риказа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МЭРиТ</w:t>
      </w:r>
      <w:proofErr w:type="spellEnd"/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именно при размещении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НТО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будут соблюдены нормы градостроительного, земельного, санитарно-эпидемиологического, экологического, противопожарного законодательства, правил благоустройства, установленных на территории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lang w:eastAsia="ru-RU"/>
        </w:rPr>
        <w:t>Кинель</w:t>
      </w:r>
      <w:proofErr w:type="spellEnd"/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Самарской области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, а также законодательства, регулирующего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lastRenderedPageBreak/>
        <w:t xml:space="preserve">торговую деятельность,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включить в Схему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как неиспользуемы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объект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ы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  Данные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предлагается включить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в проект Постановления под номер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ами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157 и 158 со следующими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описани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ями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: </w:t>
      </w:r>
    </w:p>
    <w:p w:rsidR="002F432C" w:rsidRPr="002F432C" w:rsidRDefault="002F432C" w:rsidP="002F432C">
      <w:pPr>
        <w:spacing w:line="240" w:lineRule="auto"/>
        <w:jc w:val="both"/>
        <w:rPr>
          <w:color w:val="000000"/>
          <w:szCs w:val="28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>п. 157.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 Адрес нестационарного торгового объекта: </w:t>
      </w:r>
      <w:r w:rsidRPr="002F432C">
        <w:rPr>
          <w:color w:val="000000"/>
          <w:szCs w:val="28"/>
        </w:rPr>
        <w:t>г.</w:t>
      </w:r>
      <w:r w:rsidR="00A126C0">
        <w:rPr>
          <w:color w:val="000000"/>
          <w:szCs w:val="28"/>
        </w:rPr>
        <w:t xml:space="preserve"> </w:t>
      </w:r>
      <w:proofErr w:type="spellStart"/>
      <w:r w:rsidRPr="002F432C">
        <w:rPr>
          <w:color w:val="000000"/>
          <w:szCs w:val="28"/>
        </w:rPr>
        <w:t>Кинель</w:t>
      </w:r>
      <w:proofErr w:type="spellEnd"/>
      <w:r w:rsidRPr="002F432C">
        <w:rPr>
          <w:color w:val="000000"/>
          <w:szCs w:val="28"/>
        </w:rPr>
        <w:t>,</w:t>
      </w:r>
      <w:r w:rsidRPr="002F432C">
        <w:rPr>
          <w:color w:val="000000"/>
          <w:szCs w:val="28"/>
        </w:rPr>
        <w:br/>
        <w:t xml:space="preserve">ул. Маяковского, 77, слева от павильона «С пылу </w:t>
      </w:r>
      <w:proofErr w:type="gramStart"/>
      <w:r w:rsidRPr="002F432C">
        <w:rPr>
          <w:color w:val="000000"/>
          <w:szCs w:val="28"/>
        </w:rPr>
        <w:t>–ж</w:t>
      </w:r>
      <w:proofErr w:type="gramEnd"/>
      <w:r w:rsidRPr="002F432C">
        <w:rPr>
          <w:color w:val="000000"/>
          <w:szCs w:val="28"/>
        </w:rPr>
        <w:t>ару»</w:t>
      </w:r>
      <w:r>
        <w:rPr>
          <w:color w:val="000000"/>
          <w:szCs w:val="28"/>
        </w:rPr>
        <w:t>.</w:t>
      </w:r>
    </w:p>
    <w:p w:rsidR="002F432C" w:rsidRPr="00A10E81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Характерные точки границ места размещения НТО: </w:t>
      </w:r>
    </w:p>
    <w:p w:rsidR="003C281D" w:rsidRPr="003C281D" w:rsidRDefault="003C281D" w:rsidP="003C281D">
      <w:pPr>
        <w:spacing w:after="0" w:line="240" w:lineRule="auto"/>
        <w:rPr>
          <w:color w:val="000000"/>
          <w:szCs w:val="28"/>
        </w:rPr>
      </w:pPr>
      <w:proofErr w:type="spellStart"/>
      <w:r w:rsidRPr="003C281D">
        <w:rPr>
          <w:color w:val="000000"/>
          <w:szCs w:val="28"/>
        </w:rPr>
        <w:t>н</w:t>
      </w:r>
      <w:proofErr w:type="spellEnd"/>
      <w:r w:rsidRPr="003C281D">
        <w:rPr>
          <w:color w:val="000000"/>
          <w:szCs w:val="28"/>
        </w:rPr>
        <w:t xml:space="preserve"> 1: X – 390599,40; Y – 2207268,14</w:t>
      </w:r>
    </w:p>
    <w:p w:rsidR="003C281D" w:rsidRPr="003C281D" w:rsidRDefault="003C281D" w:rsidP="003C281D">
      <w:pPr>
        <w:spacing w:after="0" w:line="240" w:lineRule="auto"/>
        <w:rPr>
          <w:color w:val="000000"/>
          <w:szCs w:val="28"/>
        </w:rPr>
      </w:pPr>
      <w:proofErr w:type="spellStart"/>
      <w:r w:rsidRPr="003C281D">
        <w:rPr>
          <w:color w:val="000000"/>
          <w:szCs w:val="28"/>
        </w:rPr>
        <w:t>н</w:t>
      </w:r>
      <w:proofErr w:type="spellEnd"/>
      <w:r w:rsidRPr="003C281D">
        <w:rPr>
          <w:color w:val="000000"/>
          <w:szCs w:val="28"/>
        </w:rPr>
        <w:t xml:space="preserve"> 2: X –390597,91; Y – 2207271,86</w:t>
      </w:r>
    </w:p>
    <w:p w:rsidR="003C281D" w:rsidRPr="003C281D" w:rsidRDefault="003C281D" w:rsidP="003C281D">
      <w:pPr>
        <w:spacing w:after="0" w:line="240" w:lineRule="auto"/>
        <w:rPr>
          <w:color w:val="000000"/>
          <w:szCs w:val="28"/>
        </w:rPr>
      </w:pPr>
      <w:proofErr w:type="spellStart"/>
      <w:r w:rsidRPr="003C281D">
        <w:rPr>
          <w:color w:val="000000"/>
          <w:szCs w:val="28"/>
        </w:rPr>
        <w:t>н</w:t>
      </w:r>
      <w:proofErr w:type="spellEnd"/>
      <w:r w:rsidRPr="003C281D">
        <w:rPr>
          <w:color w:val="000000"/>
          <w:szCs w:val="28"/>
        </w:rPr>
        <w:t xml:space="preserve"> 3: X – 390594,19; Y – 2207270,37</w:t>
      </w:r>
    </w:p>
    <w:p w:rsidR="002F432C" w:rsidRDefault="003C281D" w:rsidP="003C281D">
      <w:pPr>
        <w:spacing w:after="0" w:line="240" w:lineRule="auto"/>
        <w:rPr>
          <w:color w:val="000000"/>
          <w:szCs w:val="28"/>
        </w:rPr>
      </w:pPr>
      <w:proofErr w:type="spellStart"/>
      <w:r w:rsidRPr="003C281D">
        <w:rPr>
          <w:color w:val="000000"/>
          <w:szCs w:val="28"/>
        </w:rPr>
        <w:t>н</w:t>
      </w:r>
      <w:proofErr w:type="spellEnd"/>
      <w:r w:rsidRPr="003C281D">
        <w:rPr>
          <w:color w:val="000000"/>
          <w:szCs w:val="28"/>
        </w:rPr>
        <w:t xml:space="preserve"> 4: X – 390595,68; Y – 2207266,65</w:t>
      </w:r>
    </w:p>
    <w:p w:rsidR="003C281D" w:rsidRDefault="003C281D" w:rsidP="003C281D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2F432C" w:rsidRPr="00A10E81" w:rsidRDefault="002F432C" w:rsidP="002F432C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</w:t>
      </w:r>
      <w:r w:rsidR="00A126C0">
        <w:rPr>
          <w:rFonts w:ascii="SourceSansProRegular" w:eastAsia="Times New Roman" w:hAnsi="SourceSansProRegular" w:cs="Helvetica"/>
          <w:color w:val="333333"/>
          <w:lang w:eastAsia="ru-RU"/>
        </w:rPr>
        <w:t>6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2F432C" w:rsidRPr="00A10E81" w:rsidRDefault="002F432C" w:rsidP="002F432C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r>
        <w:rPr>
          <w:color w:val="000000"/>
          <w:szCs w:val="28"/>
        </w:rPr>
        <w:t>общественное питание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2F432C" w:rsidRPr="00A10E81" w:rsidRDefault="002F432C" w:rsidP="002F432C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не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2F432C" w:rsidRDefault="002F432C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>
        <w:rPr>
          <w:color w:val="000000"/>
          <w:szCs w:val="28"/>
        </w:rPr>
        <w:t>5 лет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.</w:t>
      </w:r>
    </w:p>
    <w:p w:rsidR="00A126C0" w:rsidRDefault="00A126C0" w:rsidP="002F432C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</w:p>
    <w:p w:rsidR="003C281D" w:rsidRDefault="00A126C0" w:rsidP="00A126C0">
      <w:pPr>
        <w:spacing w:line="240" w:lineRule="auto"/>
        <w:jc w:val="both"/>
        <w:rPr>
          <w:color w:val="000000"/>
          <w:szCs w:val="28"/>
        </w:rPr>
      </w:pPr>
      <w:r w:rsidRPr="00A126C0">
        <w:rPr>
          <w:rFonts w:eastAsia="Times New Roman"/>
          <w:color w:val="333333"/>
          <w:lang w:eastAsia="ru-RU"/>
        </w:rPr>
        <w:t xml:space="preserve">п. 158. Адрес нестационарного торгового объекта: </w:t>
      </w:r>
      <w:r w:rsidR="003C281D" w:rsidRPr="003C281D">
        <w:rPr>
          <w:color w:val="000000"/>
          <w:szCs w:val="28"/>
        </w:rPr>
        <w:t>п.г.т. Алексеевка, СНТ «</w:t>
      </w:r>
      <w:proofErr w:type="spellStart"/>
      <w:r w:rsidR="003C281D" w:rsidRPr="003C281D">
        <w:rPr>
          <w:color w:val="000000"/>
          <w:szCs w:val="28"/>
        </w:rPr>
        <w:t>Глинокарьер</w:t>
      </w:r>
      <w:proofErr w:type="spellEnd"/>
      <w:r w:rsidR="003C281D" w:rsidRPr="003C281D">
        <w:rPr>
          <w:color w:val="000000"/>
          <w:szCs w:val="28"/>
        </w:rPr>
        <w:t>»</w:t>
      </w:r>
      <w:r w:rsidR="003C281D">
        <w:rPr>
          <w:color w:val="000000"/>
          <w:szCs w:val="28"/>
        </w:rPr>
        <w:t xml:space="preserve">, между </w:t>
      </w:r>
      <w:proofErr w:type="spellStart"/>
      <w:r w:rsidR="003C281D">
        <w:rPr>
          <w:color w:val="000000"/>
          <w:szCs w:val="28"/>
        </w:rPr>
        <w:t>уч</w:t>
      </w:r>
      <w:proofErr w:type="spellEnd"/>
      <w:r w:rsidR="003C281D">
        <w:rPr>
          <w:color w:val="000000"/>
          <w:szCs w:val="28"/>
        </w:rPr>
        <w:t xml:space="preserve">. № 5 Линии № 5 и </w:t>
      </w:r>
      <w:proofErr w:type="spellStart"/>
      <w:r w:rsidR="003C281D">
        <w:rPr>
          <w:color w:val="000000"/>
          <w:szCs w:val="28"/>
        </w:rPr>
        <w:t>уч</w:t>
      </w:r>
      <w:proofErr w:type="spellEnd"/>
      <w:r w:rsidR="003C281D">
        <w:rPr>
          <w:color w:val="000000"/>
          <w:szCs w:val="28"/>
        </w:rPr>
        <w:t>. № 2 Главной линии.</w:t>
      </w:r>
    </w:p>
    <w:p w:rsidR="00A126C0" w:rsidRPr="00A126C0" w:rsidRDefault="00A126C0" w:rsidP="00A126C0">
      <w:pPr>
        <w:spacing w:line="240" w:lineRule="auto"/>
        <w:jc w:val="both"/>
        <w:rPr>
          <w:rFonts w:eastAsia="Times New Roman"/>
          <w:color w:val="333333"/>
          <w:lang w:eastAsia="ru-RU"/>
        </w:rPr>
      </w:pPr>
      <w:r w:rsidRPr="00A126C0">
        <w:rPr>
          <w:rFonts w:eastAsia="Times New Roman"/>
          <w:color w:val="333333"/>
          <w:lang w:eastAsia="ru-RU"/>
        </w:rPr>
        <w:t xml:space="preserve">Характерные точки границ места размещения НТО: </w:t>
      </w:r>
    </w:p>
    <w:p w:rsidR="00A126C0" w:rsidRPr="00A126C0" w:rsidRDefault="00A126C0" w:rsidP="00A126C0">
      <w:pPr>
        <w:spacing w:after="0" w:line="240" w:lineRule="auto"/>
        <w:rPr>
          <w:color w:val="000000"/>
          <w:szCs w:val="28"/>
        </w:rPr>
      </w:pPr>
      <w:proofErr w:type="spellStart"/>
      <w:r w:rsidRPr="00A126C0">
        <w:rPr>
          <w:color w:val="000000"/>
          <w:szCs w:val="28"/>
        </w:rPr>
        <w:t>н</w:t>
      </w:r>
      <w:proofErr w:type="spellEnd"/>
      <w:r w:rsidRPr="00A126C0">
        <w:rPr>
          <w:color w:val="000000"/>
          <w:szCs w:val="28"/>
        </w:rPr>
        <w:t xml:space="preserve"> 1: X – 395217,45; Y – 2199076,52</w:t>
      </w:r>
      <w:r w:rsidRPr="00A126C0">
        <w:rPr>
          <w:color w:val="000000"/>
          <w:szCs w:val="28"/>
        </w:rPr>
        <w:br/>
      </w:r>
      <w:proofErr w:type="spellStart"/>
      <w:r w:rsidRPr="00A126C0">
        <w:rPr>
          <w:color w:val="000000"/>
          <w:szCs w:val="28"/>
        </w:rPr>
        <w:t>н</w:t>
      </w:r>
      <w:proofErr w:type="spellEnd"/>
      <w:r w:rsidRPr="00A126C0">
        <w:rPr>
          <w:color w:val="000000"/>
          <w:szCs w:val="28"/>
        </w:rPr>
        <w:t xml:space="preserve"> 2: X – 395213,45; Y – 2199076,52</w:t>
      </w:r>
      <w:r w:rsidRPr="00A126C0">
        <w:rPr>
          <w:color w:val="000000"/>
          <w:szCs w:val="28"/>
        </w:rPr>
        <w:br/>
      </w:r>
      <w:proofErr w:type="spellStart"/>
      <w:r w:rsidRPr="00A126C0">
        <w:rPr>
          <w:color w:val="000000"/>
          <w:szCs w:val="28"/>
        </w:rPr>
        <w:t>н</w:t>
      </w:r>
      <w:proofErr w:type="spellEnd"/>
      <w:r w:rsidRPr="00A126C0">
        <w:rPr>
          <w:color w:val="000000"/>
          <w:szCs w:val="28"/>
        </w:rPr>
        <w:t xml:space="preserve"> 3: X – 395213,57; Y – 2199073,53</w:t>
      </w:r>
      <w:r w:rsidRPr="00A126C0">
        <w:rPr>
          <w:color w:val="000000"/>
          <w:szCs w:val="28"/>
        </w:rPr>
        <w:br/>
      </w:r>
      <w:proofErr w:type="spellStart"/>
      <w:r w:rsidRPr="00A126C0">
        <w:rPr>
          <w:color w:val="000000"/>
          <w:szCs w:val="28"/>
        </w:rPr>
        <w:t>н</w:t>
      </w:r>
      <w:proofErr w:type="spellEnd"/>
      <w:r w:rsidRPr="00A126C0">
        <w:rPr>
          <w:color w:val="000000"/>
          <w:szCs w:val="28"/>
        </w:rPr>
        <w:t xml:space="preserve"> 4: X – 395217,58; Y – 2199073,53</w:t>
      </w:r>
    </w:p>
    <w:p w:rsidR="00A126C0" w:rsidRDefault="00A126C0" w:rsidP="00A126C0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</w:p>
    <w:p w:rsidR="00A126C0" w:rsidRPr="00A10E81" w:rsidRDefault="00A126C0" w:rsidP="00A126C0">
      <w:pPr>
        <w:spacing w:after="0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Площадь размещения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12 кв.м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. </w:t>
      </w:r>
    </w:p>
    <w:p w:rsidR="00A126C0" w:rsidRPr="00A126C0" w:rsidRDefault="00A126C0" w:rsidP="00A126C0">
      <w:pPr>
        <w:spacing w:after="158"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Специализация НТО: </w:t>
      </w:r>
      <w:proofErr w:type="spellStart"/>
      <w:r>
        <w:rPr>
          <w:color w:val="000000"/>
          <w:szCs w:val="28"/>
        </w:rPr>
        <w:t>Продовольственнные</w:t>
      </w:r>
      <w:proofErr w:type="spellEnd"/>
      <w:r>
        <w:rPr>
          <w:color w:val="000000"/>
          <w:szCs w:val="28"/>
        </w:rPr>
        <w:t xml:space="preserve"> товары </w:t>
      </w:r>
      <w:r w:rsidRPr="00A126C0">
        <w:rPr>
          <w:color w:val="000000"/>
          <w:szCs w:val="28"/>
        </w:rPr>
        <w:t>(Мороженое и безалкогольные напитки)</w:t>
      </w:r>
      <w:r>
        <w:rPr>
          <w:color w:val="000000"/>
          <w:szCs w:val="28"/>
        </w:rPr>
        <w:t>.</w:t>
      </w:r>
    </w:p>
    <w:p w:rsidR="00A126C0" w:rsidRPr="00A10E81" w:rsidRDefault="00A126C0" w:rsidP="00A126C0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Статус места расположения НТО: не используется. </w:t>
      </w:r>
    </w:p>
    <w:p w:rsidR="00A126C0" w:rsidRPr="00A10E81" w:rsidRDefault="00A126C0" w:rsidP="00A126C0">
      <w:pPr>
        <w:spacing w:after="158" w:line="240" w:lineRule="auto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Вид НТО: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 xml:space="preserve">сезонный. </w:t>
      </w:r>
    </w:p>
    <w:p w:rsidR="00A126C0" w:rsidRDefault="00A126C0" w:rsidP="00A126C0">
      <w:pPr>
        <w:spacing w:line="240" w:lineRule="auto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A10E81">
        <w:rPr>
          <w:rFonts w:ascii="SourceSansProRegular" w:eastAsia="Times New Roman" w:hAnsi="SourceSansProRegular" w:cs="Helvetica"/>
          <w:color w:val="333333"/>
          <w:lang w:eastAsia="ru-RU"/>
        </w:rPr>
        <w:t>Срок размещения НТО</w:t>
      </w:r>
      <w:r w:rsidRPr="001C31CD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: </w:t>
      </w:r>
      <w:r w:rsidRPr="00A126C0">
        <w:rPr>
          <w:color w:val="000000"/>
          <w:szCs w:val="28"/>
        </w:rPr>
        <w:t>с 15 апреля по 14 октября</w:t>
      </w:r>
      <w:r>
        <w:rPr>
          <w:color w:val="000000"/>
          <w:szCs w:val="28"/>
        </w:rPr>
        <w:t>.</w:t>
      </w:r>
    </w:p>
    <w:p w:rsidR="00E8694E" w:rsidRDefault="00E8694E" w:rsidP="00E8694E">
      <w:pPr>
        <w:spacing w:after="158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В связи с окончанием срока действия договора на размещение НТО (сезонные), в строках Схемы НТО </w:t>
      </w:r>
      <w:r w:rsidR="00981244">
        <w:rPr>
          <w:rFonts w:ascii="SourceSansProRegular" w:eastAsia="Times New Roman" w:hAnsi="SourceSansProRegular" w:cs="Helvetica"/>
          <w:color w:val="333333"/>
          <w:lang w:eastAsia="ru-RU"/>
        </w:rPr>
        <w:t>24, 29-31, 150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 предлагается изменить статус места расположения НТО и сроки расположения НТО.</w:t>
      </w:r>
    </w:p>
    <w:p w:rsidR="002F432C" w:rsidRDefault="002F432C" w:rsidP="002F432C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lastRenderedPageBreak/>
        <w:t xml:space="preserve">В связи с допущенной технической ошибкой </w:t>
      </w:r>
      <w:r w:rsidRPr="00B6605E">
        <w:rPr>
          <w:rFonts w:ascii="SourceSansProRegular" w:hAnsi="SourceSansProRegular" w:cs="Arial"/>
          <w:color w:val="333333"/>
          <w:szCs w:val="28"/>
        </w:rPr>
        <w:t>в строк</w:t>
      </w:r>
      <w:r>
        <w:rPr>
          <w:rFonts w:ascii="SourceSansProRegular" w:hAnsi="SourceSansProRegular" w:cs="Arial"/>
          <w:color w:val="333333"/>
          <w:szCs w:val="28"/>
        </w:rPr>
        <w:t>е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Схемы НТО</w:t>
      </w:r>
      <w:r>
        <w:rPr>
          <w:rFonts w:ascii="SourceSansProRegular" w:hAnsi="SourceSansProRegular" w:cs="Arial"/>
          <w:color w:val="333333"/>
          <w:szCs w:val="28"/>
        </w:rPr>
        <w:t xml:space="preserve"> - </w:t>
      </w:r>
      <w:r w:rsidRPr="00B6605E">
        <w:rPr>
          <w:rFonts w:ascii="SourceSansProRegular" w:hAnsi="SourceSansProRegular" w:cs="Arial"/>
          <w:color w:val="333333"/>
          <w:szCs w:val="28"/>
        </w:rPr>
        <w:t xml:space="preserve"> </w:t>
      </w:r>
      <w:r w:rsidR="00A126C0">
        <w:rPr>
          <w:rFonts w:ascii="SourceSansProRegular" w:hAnsi="SourceSansProRegular" w:cs="Arial"/>
          <w:color w:val="333333"/>
          <w:szCs w:val="28"/>
        </w:rPr>
        <w:t xml:space="preserve">99 </w:t>
      </w:r>
      <w:r>
        <w:rPr>
          <w:rFonts w:ascii="SourceSansProRegular" w:hAnsi="SourceSansProRegular" w:cs="Arial"/>
          <w:color w:val="333333"/>
          <w:szCs w:val="28"/>
        </w:rPr>
        <w:t xml:space="preserve">предлагается изменить статус места расположения НТО, в строке Схемы НТО - 76  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предлагается изменить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срок </w:t>
      </w:r>
      <w:r w:rsidR="00A138EC">
        <w:rPr>
          <w:rFonts w:ascii="SourceSansProRegular" w:eastAsia="Times New Roman" w:hAnsi="SourceSansProRegular" w:cs="Helvetica"/>
          <w:color w:val="333333"/>
          <w:lang w:eastAsia="ru-RU"/>
        </w:rPr>
        <w:t>расположения</w:t>
      </w:r>
      <w:r w:rsidRPr="00B6605E">
        <w:rPr>
          <w:rFonts w:ascii="SourceSansProRegular" w:eastAsia="Times New Roman" w:hAnsi="SourceSansProRegular" w:cs="Helvetica"/>
          <w:color w:val="333333"/>
          <w:lang w:eastAsia="ru-RU"/>
        </w:rPr>
        <w:t xml:space="preserve"> НТО.</w:t>
      </w:r>
    </w:p>
    <w:p w:rsidR="00F02CE8" w:rsidRDefault="00F02CE8" w:rsidP="00F02CE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lang w:eastAsia="ru-RU"/>
        </w:rPr>
      </w:pP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По результатам проведения аукциона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на право размещения несезонного НТО (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«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Общественное питание</w:t>
      </w:r>
      <w:r>
        <w:rPr>
          <w:rFonts w:ascii="SourceSansProRegular" w:eastAsia="Times New Roman" w:hAnsi="SourceSansProRegular" w:cs="Helvetica" w:hint="eastAsia"/>
          <w:color w:val="333333"/>
          <w:lang w:eastAsia="ru-RU"/>
        </w:rPr>
        <w:t>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),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по заявлени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ю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заинтересованн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лиц, а именно - индивидуальн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ого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предпринимател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я, 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>в строк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е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Схемы НТО 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>156</w:t>
      </w:r>
      <w:r w:rsidRPr="00A154A8">
        <w:rPr>
          <w:rFonts w:ascii="SourceSansProRegular" w:eastAsia="Times New Roman" w:hAnsi="SourceSansProRegular" w:cs="Helvetica"/>
          <w:color w:val="333333"/>
          <w:lang w:eastAsia="ru-RU"/>
        </w:rPr>
        <w:t xml:space="preserve"> предлагается изменить статус места расположения НТО и срок расположения НТО.</w:t>
      </w:r>
      <w:r>
        <w:rPr>
          <w:rFonts w:ascii="SourceSansProRegular" w:eastAsia="Times New Roman" w:hAnsi="SourceSansProRegular" w:cs="Helvetica"/>
          <w:color w:val="333333"/>
          <w:lang w:eastAsia="ru-RU"/>
        </w:rPr>
        <w:t xml:space="preserve"> </w:t>
      </w:r>
    </w:p>
    <w:p w:rsidR="00C91E65" w:rsidRDefault="00C91E65" w:rsidP="00215858">
      <w:pPr>
        <w:spacing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Изменения соответствуют П</w:t>
      </w: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риказу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МЭРиТ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№ 240 от 28.10.2016 «Об утверждении Порядка разработки и утверждения схемы размещения нестационарных торговых объектов на территории Самарской области и о признании </w:t>
      </w:r>
      <w:proofErr w:type="gramStart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утратившими</w:t>
      </w:r>
      <w:proofErr w:type="gram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силу отдельных приказов министерства экономического развития, инвестиций и торговли Самарской области». </w:t>
      </w:r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    </w:t>
      </w:r>
    </w:p>
    <w:p w:rsidR="00240B83" w:rsidRPr="003F2329" w:rsidRDefault="00240B83" w:rsidP="00240B83">
      <w:pPr>
        <w:spacing w:after="169" w:line="240" w:lineRule="auto"/>
        <w:ind w:firstLine="708"/>
        <w:jc w:val="both"/>
        <w:rPr>
          <w:rFonts w:ascii="SourceSansProRegular" w:eastAsia="Times New Roman" w:hAnsi="SourceSansProRegular" w:cs="Helvetica"/>
          <w:color w:val="333333"/>
          <w:szCs w:val="28"/>
          <w:lang w:eastAsia="ru-RU"/>
        </w:rPr>
      </w:pPr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Принятие постановления позволит создать дополнительные условия для развития потребительского рынка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, формирования торговой инфраструктуры с учётом видов и типов торговых объектов, форм и способов торговли, поддержки предпринимательства, повышения эффективности использования земель или земельных участков, находящихся в государственной или муниципальной собственности городского округа </w:t>
      </w:r>
      <w:proofErr w:type="spellStart"/>
      <w:r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>Кинель</w:t>
      </w:r>
      <w:proofErr w:type="spellEnd"/>
      <w:r w:rsidRPr="003F2329">
        <w:rPr>
          <w:rFonts w:ascii="SourceSansProRegular" w:eastAsia="Times New Roman" w:hAnsi="SourceSansProRegular" w:cs="Helvetica"/>
          <w:color w:val="333333"/>
          <w:szCs w:val="28"/>
          <w:lang w:eastAsia="ru-RU"/>
        </w:rPr>
        <w:t xml:space="preserve"> для целей размещения НТО.  </w:t>
      </w:r>
    </w:p>
    <w:p w:rsidR="00AA4F55" w:rsidRDefault="00AA4F55" w:rsidP="007F6E3F">
      <w:pPr>
        <w:spacing w:after="0" w:line="240" w:lineRule="auto"/>
        <w:ind w:firstLine="709"/>
        <w:jc w:val="both"/>
        <w:rPr>
          <w:szCs w:val="28"/>
        </w:rPr>
      </w:pPr>
    </w:p>
    <w:tbl>
      <w:tblPr>
        <w:tblW w:w="9889" w:type="dxa"/>
        <w:tblLayout w:type="fixed"/>
        <w:tblLook w:val="01E0"/>
      </w:tblPr>
      <w:tblGrid>
        <w:gridCol w:w="4077"/>
        <w:gridCol w:w="5812"/>
      </w:tblGrid>
      <w:tr w:rsidR="008B0901" w:rsidRPr="00AA4F55" w:rsidTr="005D23EE">
        <w:trPr>
          <w:trHeight w:val="353"/>
        </w:trPr>
        <w:tc>
          <w:tcPr>
            <w:tcW w:w="4077" w:type="dxa"/>
            <w:shd w:val="clear" w:color="auto" w:fill="auto"/>
          </w:tcPr>
          <w:p w:rsidR="00240B83" w:rsidRDefault="00240B83">
            <w:pPr>
              <w:spacing w:after="0" w:line="240" w:lineRule="auto"/>
              <w:rPr>
                <w:szCs w:val="28"/>
              </w:rPr>
            </w:pPr>
          </w:p>
          <w:p w:rsidR="008B0901" w:rsidRDefault="00240B83">
            <w:pPr>
              <w:spacing w:after="0" w:line="240" w:lineRule="auto"/>
              <w:rPr>
                <w:szCs w:val="28"/>
              </w:rPr>
            </w:pPr>
            <w:r>
              <w:rPr>
                <w:szCs w:val="28"/>
              </w:rPr>
              <w:t>Начальник отдела экономики и потребительского рынка</w:t>
            </w:r>
            <w:r w:rsidR="00650A2D">
              <w:rPr>
                <w:szCs w:val="28"/>
              </w:rPr>
              <w:t xml:space="preserve"> управления экономического развития, инвестиций и потребительского рынка</w:t>
            </w:r>
          </w:p>
        </w:tc>
        <w:tc>
          <w:tcPr>
            <w:tcW w:w="5812" w:type="dxa"/>
            <w:shd w:val="clear" w:color="auto" w:fill="auto"/>
          </w:tcPr>
          <w:p w:rsidR="008B0901" w:rsidRDefault="008B0901">
            <w:pPr>
              <w:spacing w:after="0" w:line="240" w:lineRule="auto"/>
              <w:jc w:val="right"/>
              <w:rPr>
                <w:szCs w:val="28"/>
              </w:rPr>
            </w:pPr>
          </w:p>
          <w:p w:rsidR="00240B83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650A2D" w:rsidRDefault="00650A2D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650A2D" w:rsidRDefault="00650A2D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650A2D" w:rsidRDefault="00650A2D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</w:p>
          <w:p w:rsidR="008B0901" w:rsidRDefault="00240B83" w:rsidP="00446ABC">
            <w:pPr>
              <w:spacing w:after="0" w:line="240" w:lineRule="auto"/>
              <w:ind w:right="317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А.Н. </w:t>
            </w:r>
            <w:proofErr w:type="spellStart"/>
            <w:r>
              <w:rPr>
                <w:szCs w:val="28"/>
              </w:rPr>
              <w:t>Индерейкин</w:t>
            </w:r>
            <w:proofErr w:type="spellEnd"/>
          </w:p>
        </w:tc>
      </w:tr>
    </w:tbl>
    <w:p w:rsidR="00744A46" w:rsidRDefault="00744A46" w:rsidP="00AA4F55">
      <w:pPr>
        <w:spacing w:after="0" w:line="240" w:lineRule="auto"/>
        <w:ind w:firstLine="709"/>
        <w:jc w:val="both"/>
        <w:rPr>
          <w:szCs w:val="28"/>
        </w:rPr>
      </w:pPr>
    </w:p>
    <w:sectPr w:rsidR="00744A46" w:rsidSect="0064280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ourceSansProReg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A4D72"/>
    <w:multiLevelType w:val="hybridMultilevel"/>
    <w:tmpl w:val="8444A95E"/>
    <w:lvl w:ilvl="0" w:tplc="F112DF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DB4D1F"/>
    <w:rsid w:val="00012990"/>
    <w:rsid w:val="00041726"/>
    <w:rsid w:val="00045C96"/>
    <w:rsid w:val="00057C0A"/>
    <w:rsid w:val="00072CDE"/>
    <w:rsid w:val="000742D7"/>
    <w:rsid w:val="00080B83"/>
    <w:rsid w:val="00084FC5"/>
    <w:rsid w:val="00087DB7"/>
    <w:rsid w:val="00094763"/>
    <w:rsid w:val="0009627E"/>
    <w:rsid w:val="00097731"/>
    <w:rsid w:val="000A4904"/>
    <w:rsid w:val="000E57F3"/>
    <w:rsid w:val="0011065B"/>
    <w:rsid w:val="00124372"/>
    <w:rsid w:val="0012601B"/>
    <w:rsid w:val="00140E75"/>
    <w:rsid w:val="00141284"/>
    <w:rsid w:val="0014435D"/>
    <w:rsid w:val="00186624"/>
    <w:rsid w:val="001974EF"/>
    <w:rsid w:val="001B22C8"/>
    <w:rsid w:val="001C31CD"/>
    <w:rsid w:val="001C4392"/>
    <w:rsid w:val="001D0353"/>
    <w:rsid w:val="001E5EC1"/>
    <w:rsid w:val="001F7FE2"/>
    <w:rsid w:val="00201C4D"/>
    <w:rsid w:val="00205ECE"/>
    <w:rsid w:val="002119A5"/>
    <w:rsid w:val="00215858"/>
    <w:rsid w:val="0021736D"/>
    <w:rsid w:val="00231FC1"/>
    <w:rsid w:val="0023689C"/>
    <w:rsid w:val="00240B83"/>
    <w:rsid w:val="002557D9"/>
    <w:rsid w:val="00286A5B"/>
    <w:rsid w:val="0029335B"/>
    <w:rsid w:val="002A33D0"/>
    <w:rsid w:val="002B1E8E"/>
    <w:rsid w:val="002B7856"/>
    <w:rsid w:val="002E2A5E"/>
    <w:rsid w:val="002F432C"/>
    <w:rsid w:val="00300FB8"/>
    <w:rsid w:val="00300FCC"/>
    <w:rsid w:val="00302CBC"/>
    <w:rsid w:val="00304EF2"/>
    <w:rsid w:val="00310532"/>
    <w:rsid w:val="003147B7"/>
    <w:rsid w:val="00321AF3"/>
    <w:rsid w:val="00325AEA"/>
    <w:rsid w:val="00346D3C"/>
    <w:rsid w:val="003843B8"/>
    <w:rsid w:val="00395EB9"/>
    <w:rsid w:val="003B0641"/>
    <w:rsid w:val="003B77F8"/>
    <w:rsid w:val="003C281D"/>
    <w:rsid w:val="003C3805"/>
    <w:rsid w:val="003C6C2A"/>
    <w:rsid w:val="003D308A"/>
    <w:rsid w:val="003D7B58"/>
    <w:rsid w:val="003E3DB3"/>
    <w:rsid w:val="003F2329"/>
    <w:rsid w:val="004069C6"/>
    <w:rsid w:val="00407A5A"/>
    <w:rsid w:val="00416530"/>
    <w:rsid w:val="004428F6"/>
    <w:rsid w:val="00443725"/>
    <w:rsid w:val="00446ABC"/>
    <w:rsid w:val="00480749"/>
    <w:rsid w:val="004D75FB"/>
    <w:rsid w:val="004E0631"/>
    <w:rsid w:val="00514899"/>
    <w:rsid w:val="00514BEC"/>
    <w:rsid w:val="00517A65"/>
    <w:rsid w:val="00521863"/>
    <w:rsid w:val="00530E32"/>
    <w:rsid w:val="0053485D"/>
    <w:rsid w:val="005516A4"/>
    <w:rsid w:val="00565CD6"/>
    <w:rsid w:val="0059010B"/>
    <w:rsid w:val="005912D3"/>
    <w:rsid w:val="005957FD"/>
    <w:rsid w:val="005A1DA2"/>
    <w:rsid w:val="005B50D3"/>
    <w:rsid w:val="005D1AE7"/>
    <w:rsid w:val="005F085A"/>
    <w:rsid w:val="00604765"/>
    <w:rsid w:val="00606CA8"/>
    <w:rsid w:val="00607EF0"/>
    <w:rsid w:val="00617EA7"/>
    <w:rsid w:val="0064280F"/>
    <w:rsid w:val="00650A2D"/>
    <w:rsid w:val="00657FC2"/>
    <w:rsid w:val="00665748"/>
    <w:rsid w:val="00676F67"/>
    <w:rsid w:val="006A1BEC"/>
    <w:rsid w:val="006A1EBC"/>
    <w:rsid w:val="006E00DA"/>
    <w:rsid w:val="006E4422"/>
    <w:rsid w:val="006E4C78"/>
    <w:rsid w:val="006F07E5"/>
    <w:rsid w:val="006F12CD"/>
    <w:rsid w:val="007070C5"/>
    <w:rsid w:val="00727686"/>
    <w:rsid w:val="00744A46"/>
    <w:rsid w:val="00751CAD"/>
    <w:rsid w:val="00762CA0"/>
    <w:rsid w:val="007B1ECF"/>
    <w:rsid w:val="007E1981"/>
    <w:rsid w:val="007E5256"/>
    <w:rsid w:val="007F6E3F"/>
    <w:rsid w:val="0080269D"/>
    <w:rsid w:val="00806948"/>
    <w:rsid w:val="00814789"/>
    <w:rsid w:val="00833682"/>
    <w:rsid w:val="00840387"/>
    <w:rsid w:val="0084198F"/>
    <w:rsid w:val="00872CA4"/>
    <w:rsid w:val="0087348E"/>
    <w:rsid w:val="008844E2"/>
    <w:rsid w:val="00886749"/>
    <w:rsid w:val="00890181"/>
    <w:rsid w:val="0089470B"/>
    <w:rsid w:val="0089719A"/>
    <w:rsid w:val="008B0901"/>
    <w:rsid w:val="008C230F"/>
    <w:rsid w:val="008D3C3F"/>
    <w:rsid w:val="009035F5"/>
    <w:rsid w:val="009807F6"/>
    <w:rsid w:val="00981244"/>
    <w:rsid w:val="009E62C4"/>
    <w:rsid w:val="00A01A02"/>
    <w:rsid w:val="00A126C0"/>
    <w:rsid w:val="00A138EC"/>
    <w:rsid w:val="00A1446A"/>
    <w:rsid w:val="00A154A8"/>
    <w:rsid w:val="00A17DF9"/>
    <w:rsid w:val="00A35919"/>
    <w:rsid w:val="00A52E2D"/>
    <w:rsid w:val="00A56E32"/>
    <w:rsid w:val="00A6227E"/>
    <w:rsid w:val="00A643BC"/>
    <w:rsid w:val="00A917AE"/>
    <w:rsid w:val="00A97806"/>
    <w:rsid w:val="00AA4F55"/>
    <w:rsid w:val="00AF5902"/>
    <w:rsid w:val="00B111CB"/>
    <w:rsid w:val="00B12926"/>
    <w:rsid w:val="00B138CF"/>
    <w:rsid w:val="00B20511"/>
    <w:rsid w:val="00B27D55"/>
    <w:rsid w:val="00B35E75"/>
    <w:rsid w:val="00B53B62"/>
    <w:rsid w:val="00B6605E"/>
    <w:rsid w:val="00B9225D"/>
    <w:rsid w:val="00BE30C9"/>
    <w:rsid w:val="00BE30FF"/>
    <w:rsid w:val="00BE4D46"/>
    <w:rsid w:val="00C0799A"/>
    <w:rsid w:val="00C4577C"/>
    <w:rsid w:val="00C91E65"/>
    <w:rsid w:val="00C9330C"/>
    <w:rsid w:val="00C96851"/>
    <w:rsid w:val="00CA7733"/>
    <w:rsid w:val="00CB6280"/>
    <w:rsid w:val="00CE4640"/>
    <w:rsid w:val="00D230B1"/>
    <w:rsid w:val="00D2756D"/>
    <w:rsid w:val="00D30518"/>
    <w:rsid w:val="00D36203"/>
    <w:rsid w:val="00D363FF"/>
    <w:rsid w:val="00D51DD9"/>
    <w:rsid w:val="00D56A6D"/>
    <w:rsid w:val="00D61458"/>
    <w:rsid w:val="00D70B5A"/>
    <w:rsid w:val="00D76DD4"/>
    <w:rsid w:val="00DB4D1F"/>
    <w:rsid w:val="00DB6F52"/>
    <w:rsid w:val="00E03C80"/>
    <w:rsid w:val="00E1085D"/>
    <w:rsid w:val="00E25E86"/>
    <w:rsid w:val="00E27EBF"/>
    <w:rsid w:val="00E27FF4"/>
    <w:rsid w:val="00E81185"/>
    <w:rsid w:val="00E83540"/>
    <w:rsid w:val="00E8474C"/>
    <w:rsid w:val="00E8694E"/>
    <w:rsid w:val="00ED1808"/>
    <w:rsid w:val="00F02CE8"/>
    <w:rsid w:val="00F22B0E"/>
    <w:rsid w:val="00F23A49"/>
    <w:rsid w:val="00F76865"/>
    <w:rsid w:val="00F869F4"/>
    <w:rsid w:val="00FA3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392"/>
    <w:pPr>
      <w:spacing w:after="200" w:line="276" w:lineRule="auto"/>
    </w:pPr>
    <w:rPr>
      <w:sz w:val="28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E4D46"/>
    <w:pPr>
      <w:keepNext/>
      <w:spacing w:after="0" w:line="360" w:lineRule="auto"/>
      <w:ind w:firstLine="567"/>
      <w:jc w:val="center"/>
      <w:outlineLvl w:val="0"/>
    </w:pPr>
    <w:rPr>
      <w:rFonts w:eastAsia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DB4D1F"/>
    <w:rPr>
      <w:b/>
      <w:bCs/>
      <w:color w:val="106BBE"/>
      <w:sz w:val="26"/>
      <w:szCs w:val="26"/>
    </w:rPr>
  </w:style>
  <w:style w:type="character" w:customStyle="1" w:styleId="a4">
    <w:name w:val="Цветовое выделение"/>
    <w:uiPriority w:val="99"/>
    <w:rsid w:val="00BE4D46"/>
    <w:rPr>
      <w:b/>
      <w:bCs/>
      <w:color w:val="26282F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BE4D46"/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E4D4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footer"/>
    <w:basedOn w:val="a"/>
    <w:link w:val="a6"/>
    <w:uiPriority w:val="99"/>
    <w:unhideWhenUsed/>
    <w:rsid w:val="00744A46"/>
    <w:pPr>
      <w:tabs>
        <w:tab w:val="center" w:pos="4677"/>
        <w:tab w:val="right" w:pos="9355"/>
      </w:tabs>
      <w:spacing w:after="0" w:line="36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744A46"/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57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9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2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5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2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4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1145</TotalTime>
  <Pages>3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Афанасьева</cp:lastModifiedBy>
  <cp:revision>83</cp:revision>
  <cp:lastPrinted>2018-05-15T07:15:00Z</cp:lastPrinted>
  <dcterms:created xsi:type="dcterms:W3CDTF">2016-10-21T07:37:00Z</dcterms:created>
  <dcterms:modified xsi:type="dcterms:W3CDTF">2018-10-25T06:26:00Z</dcterms:modified>
</cp:coreProperties>
</file>