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F860E4" w:rsidRPr="00F860E4">
        <w:rPr>
          <w:sz w:val="28"/>
          <w:szCs w:val="28"/>
        </w:rPr>
        <w:t>Принятие решения по заявлению лица об отказе от права на земельный участок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F860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Кинель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F860E4" w:rsidRPr="00F860E4">
        <w:rPr>
          <w:sz w:val="28"/>
          <w:szCs w:val="28"/>
        </w:rPr>
        <w:t>Принятие решения по заявлению лица об отказе от права на земельный участок</w:t>
      </w:r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F860E4">
      <w:pPr>
        <w:pStyle w:val="a3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Default="002F1931" w:rsidP="00F860E4">
      <w:pPr>
        <w:ind w:firstLine="708"/>
        <w:jc w:val="both"/>
        <w:rPr>
          <w:sz w:val="28"/>
          <w:szCs w:val="28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не потребует принятие дополнительных нормативно правовых актов, изменения, </w:t>
      </w:r>
      <w:r>
        <w:rPr>
          <w:rFonts w:eastAsia="Calibri"/>
          <w:sz w:val="28"/>
          <w:szCs w:val="28"/>
          <w:lang w:eastAsia="en-US"/>
        </w:rPr>
        <w:t xml:space="preserve">а также </w:t>
      </w:r>
      <w:r w:rsidRPr="00A95E59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финансовых затрат бюджета </w:t>
      </w:r>
      <w:bookmarkStart w:id="0" w:name="_GoBack"/>
      <w:bookmarkEnd w:id="0"/>
      <w:r w:rsidRPr="00A95E5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Кинель</w:t>
      </w:r>
      <w:r w:rsidR="00F860E4">
        <w:rPr>
          <w:sz w:val="28"/>
          <w:szCs w:val="28"/>
        </w:rPr>
        <w:t>.</w:t>
      </w:r>
    </w:p>
    <w:p w:rsidR="00F860E4" w:rsidRPr="002F1931" w:rsidRDefault="00F860E4" w:rsidP="00F860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Проектом указанного НПА предполагается признать </w:t>
      </w:r>
      <w:r w:rsidRPr="00F860E4">
        <w:rPr>
          <w:rFonts w:eastAsia="Calibri"/>
          <w:sz w:val="28"/>
          <w:szCs w:val="28"/>
          <w:lang w:eastAsia="en-US"/>
        </w:rPr>
        <w:t>утратившим силу постановление администрации городского округа Кинель Самарской области от 24 декабря 2015 г. № 4035 «Об утверждении Административного регламента предоставления муниципальной услуги «Принятие решения по заявлению лица об отказе от права на земельный участок».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60E4" w:rsidP="00F82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82113" w:rsidRPr="00F8211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gramStart"/>
      <w:r w:rsidRPr="00F82113">
        <w:rPr>
          <w:sz w:val="28"/>
          <w:szCs w:val="28"/>
        </w:rPr>
        <w:t xml:space="preserve">Кинель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F860E4">
        <w:rPr>
          <w:sz w:val="28"/>
          <w:szCs w:val="28"/>
        </w:rPr>
        <w:t xml:space="preserve">  Г.В. Резюкова</w:t>
      </w: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13BCB"/>
    <w:rsid w:val="00454BA8"/>
    <w:rsid w:val="00455E54"/>
    <w:rsid w:val="00483A73"/>
    <w:rsid w:val="004D4CC7"/>
    <w:rsid w:val="00511D8B"/>
    <w:rsid w:val="005E5F5A"/>
    <w:rsid w:val="005F1145"/>
    <w:rsid w:val="006B212F"/>
    <w:rsid w:val="006F624C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860E4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F6D3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8</cp:revision>
  <cp:lastPrinted>2016-11-11T10:13:00Z</cp:lastPrinted>
  <dcterms:created xsi:type="dcterms:W3CDTF">2017-03-15T06:22:00Z</dcterms:created>
  <dcterms:modified xsi:type="dcterms:W3CDTF">2018-12-05T04:17:00Z</dcterms:modified>
</cp:coreProperties>
</file>